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F9B9" w14:textId="1C6C0E32" w:rsidR="00CD2EEF" w:rsidRDefault="00F21353" w:rsidP="00CD2EEF">
      <w:pPr>
        <w:widowControl w:val="0"/>
        <w:spacing w:after="0" w:line="276" w:lineRule="auto"/>
        <w:ind w:left="0" w:firstLine="0"/>
        <w:jc w:val="center"/>
        <w:rPr>
          <w:rFonts w:ascii="Arial" w:eastAsia="ＭＳ ゴシック" w:hAnsi="Arial" w:cs="Arial"/>
          <w:color w:val="auto"/>
          <w:sz w:val="24"/>
          <w:szCs w:val="24"/>
        </w:rPr>
      </w:pPr>
      <w:r w:rsidRPr="00F21353">
        <w:rPr>
          <w:rFonts w:ascii="Arial" w:eastAsia="ＭＳ ゴシック" w:hAnsi="Arial" w:cs="Arial"/>
          <w:color w:val="auto"/>
          <w:sz w:val="24"/>
          <w:szCs w:val="24"/>
        </w:rPr>
        <w:t>Disclosure of Potential Conflicts of Interest</w:t>
      </w:r>
    </w:p>
    <w:p w14:paraId="362668A0" w14:textId="77777777" w:rsidR="00F21353" w:rsidRDefault="00F21353" w:rsidP="00F21353">
      <w:pPr>
        <w:widowControl w:val="0"/>
        <w:spacing w:after="0" w:line="276" w:lineRule="auto"/>
        <w:ind w:left="0" w:firstLine="0"/>
        <w:rPr>
          <w:rFonts w:ascii="Arial" w:eastAsia="ＭＳ ゴシック" w:hAnsi="Arial" w:cs="Arial"/>
          <w:color w:val="auto"/>
          <w:sz w:val="21"/>
          <w:szCs w:val="21"/>
        </w:rPr>
      </w:pPr>
    </w:p>
    <w:p w14:paraId="031C40F2" w14:textId="72605DA3" w:rsidR="00F21353" w:rsidRDefault="00F21353" w:rsidP="00F21353">
      <w:pPr>
        <w:widowControl w:val="0"/>
        <w:spacing w:after="0" w:line="276" w:lineRule="auto"/>
        <w:ind w:left="0" w:firstLine="0"/>
        <w:rPr>
          <w:rFonts w:ascii="Arial" w:eastAsia="ＭＳ ゴシック" w:hAnsi="Arial" w:cs="Arial"/>
          <w:color w:val="auto"/>
          <w:sz w:val="21"/>
          <w:szCs w:val="21"/>
        </w:rPr>
      </w:pPr>
      <w:r w:rsidRPr="00F21353">
        <w:rPr>
          <w:rFonts w:ascii="Arial" w:eastAsia="ＭＳ ゴシック" w:hAnsi="Arial" w:cs="Arial"/>
          <w:color w:val="auto"/>
          <w:sz w:val="21"/>
          <w:szCs w:val="21"/>
        </w:rPr>
        <w:t>To President of Japanese Society of Health Education and Promotion</w:t>
      </w:r>
    </w:p>
    <w:p w14:paraId="73989ED3" w14:textId="77777777" w:rsidR="00F21353" w:rsidRDefault="00F21353" w:rsidP="00F21353">
      <w:pPr>
        <w:widowControl w:val="0"/>
        <w:spacing w:after="0" w:line="276" w:lineRule="auto"/>
        <w:ind w:left="0" w:firstLine="0"/>
        <w:rPr>
          <w:rFonts w:ascii="Arial" w:eastAsia="ＭＳ ゴシック" w:hAnsi="Arial" w:cs="Arial"/>
          <w:color w:val="auto"/>
          <w:sz w:val="21"/>
          <w:szCs w:val="21"/>
        </w:rPr>
      </w:pPr>
    </w:p>
    <w:p w14:paraId="4111E89B" w14:textId="2928EBBB" w:rsidR="00F21353" w:rsidRPr="00604E4C" w:rsidRDefault="00F21353" w:rsidP="00F21353">
      <w:pPr>
        <w:widowControl w:val="0"/>
        <w:spacing w:after="0" w:line="276" w:lineRule="auto"/>
        <w:ind w:left="0" w:firstLine="0"/>
        <w:rPr>
          <w:rFonts w:ascii="Arial" w:eastAsia="ＭＳ ゴシック" w:hAnsi="Arial" w:cs="Arial"/>
          <w:color w:val="auto"/>
          <w:sz w:val="21"/>
          <w:szCs w:val="21"/>
        </w:rPr>
      </w:pPr>
      <w:r w:rsidRPr="00F21353">
        <w:rPr>
          <w:rFonts w:ascii="Arial" w:eastAsia="ＭＳ ゴシック" w:hAnsi="Arial" w:cs="Arial"/>
          <w:color w:val="auto"/>
          <w:sz w:val="21"/>
          <w:szCs w:val="21"/>
        </w:rPr>
        <w:t>Corresponding Author</w:t>
      </w:r>
      <w:r w:rsidR="00714347">
        <w:rPr>
          <w:rFonts w:ascii="Arial" w:eastAsia="ＭＳ ゴシック" w:hAnsi="Arial" w:cs="Arial"/>
          <w:color w:val="auto"/>
          <w:sz w:val="21"/>
          <w:szCs w:val="21"/>
        </w:rPr>
        <w:t xml:space="preserve"> </w:t>
      </w:r>
      <w:r w:rsidR="003D497D">
        <w:rPr>
          <w:rFonts w:ascii="Arial" w:eastAsia="ＭＳ ゴシック" w:hAnsi="Arial" w:cs="Arial"/>
          <w:color w:val="auto"/>
          <w:sz w:val="21"/>
          <w:szCs w:val="21"/>
        </w:rPr>
        <w:t>(Given name Surname)</w:t>
      </w:r>
      <w:r w:rsidR="00604E4C">
        <w:rPr>
          <w:rFonts w:ascii="Arial" w:eastAsia="ＭＳ ゴシック" w:hAnsi="Arial" w:cs="Arial"/>
          <w:color w:val="auto"/>
          <w:sz w:val="21"/>
          <w:szCs w:val="21"/>
        </w:rPr>
        <w:t xml:space="preserve"> </w:t>
      </w:r>
    </w:p>
    <w:p w14:paraId="3F329483" w14:textId="77777777" w:rsidR="003D497D" w:rsidRDefault="003D497D" w:rsidP="00F21353">
      <w:pPr>
        <w:widowControl w:val="0"/>
        <w:spacing w:after="0" w:line="276" w:lineRule="auto"/>
        <w:ind w:left="0" w:firstLine="0"/>
        <w:rPr>
          <w:rFonts w:ascii="Arial" w:eastAsia="ＭＳ ゴシック" w:hAnsi="Arial" w:cs="Arial"/>
          <w:color w:val="auto"/>
          <w:sz w:val="21"/>
          <w:szCs w:val="21"/>
        </w:rPr>
      </w:pPr>
    </w:p>
    <w:p w14:paraId="12784B58" w14:textId="3DD32152" w:rsidR="003D497D" w:rsidRDefault="003D497D" w:rsidP="00F21353">
      <w:pPr>
        <w:widowControl w:val="0"/>
        <w:spacing w:after="0" w:line="276" w:lineRule="auto"/>
        <w:ind w:left="0" w:firstLine="0"/>
        <w:rPr>
          <w:rFonts w:ascii="Arial" w:eastAsia="ＭＳ ゴシック" w:hAnsi="Arial" w:cs="Arial"/>
          <w:color w:val="auto"/>
          <w:sz w:val="21"/>
          <w:szCs w:val="21"/>
        </w:rPr>
      </w:pPr>
      <w:r>
        <w:rPr>
          <w:rFonts w:ascii="Arial" w:eastAsia="ＭＳ ゴシック" w:hAnsi="Arial" w:cs="Arial"/>
          <w:color w:val="auto"/>
          <w:sz w:val="21"/>
          <w:szCs w:val="21"/>
        </w:rPr>
        <w:t xml:space="preserve">Manuscript Title: </w:t>
      </w:r>
    </w:p>
    <w:p w14:paraId="5D0AD388" w14:textId="77777777" w:rsidR="003D497D" w:rsidRDefault="003D497D" w:rsidP="00F21353">
      <w:pPr>
        <w:widowControl w:val="0"/>
        <w:spacing w:after="0" w:line="276" w:lineRule="auto"/>
        <w:ind w:left="0" w:firstLine="0"/>
        <w:rPr>
          <w:rFonts w:ascii="Arial" w:eastAsia="ＭＳ ゴシック" w:hAnsi="Arial" w:cs="Arial"/>
          <w:color w:val="auto"/>
          <w:sz w:val="21"/>
          <w:szCs w:val="21"/>
        </w:rPr>
      </w:pPr>
    </w:p>
    <w:p w14:paraId="03BD7F93" w14:textId="7F4D3675" w:rsidR="003D497D" w:rsidRPr="003D497D" w:rsidRDefault="003D497D" w:rsidP="003D497D">
      <w:pPr>
        <w:widowControl w:val="0"/>
        <w:spacing w:after="0" w:line="276" w:lineRule="auto"/>
        <w:ind w:left="0" w:firstLine="0"/>
        <w:rPr>
          <w:rFonts w:ascii="Arial" w:eastAsia="ＭＳ ゴシック" w:hAnsi="Arial" w:cs="Arial"/>
          <w:color w:val="auto"/>
          <w:sz w:val="21"/>
          <w:szCs w:val="21"/>
        </w:rPr>
      </w:pPr>
      <w:r>
        <w:rPr>
          <w:rFonts w:ascii="Arial" w:eastAsia="ＭＳ ゴシック" w:hAnsi="Arial" w:cs="Arial"/>
          <w:color w:val="auto"/>
          <w:sz w:val="21"/>
          <w:szCs w:val="21"/>
        </w:rPr>
        <w:t>Please leave “Yes” or “No”</w:t>
      </w:r>
      <w:r w:rsidRPr="003D497D">
        <w:rPr>
          <w:rFonts w:ascii="Arial" w:eastAsia="ＭＳ ゴシック" w:hAnsi="Arial" w:cs="Arial"/>
          <w:color w:val="auto"/>
          <w:sz w:val="21"/>
          <w:szCs w:val="21"/>
        </w:rPr>
        <w:t xml:space="preserve"> in the appropriate boxes in the table. </w:t>
      </w:r>
      <w:r w:rsidR="00D530B2" w:rsidRPr="00D530B2">
        <w:rPr>
          <w:rFonts w:ascii="Arial" w:eastAsia="ＭＳ ゴシック" w:hAnsi="Arial" w:cs="Arial"/>
          <w:color w:val="auto"/>
          <w:sz w:val="21"/>
          <w:szCs w:val="21"/>
        </w:rPr>
        <w:t xml:space="preserve">All authors are required to disclose any COI within the period of 24 months prior to the submission of any manuscript in the subject matter of which any company, entity, </w:t>
      </w:r>
      <w:r w:rsidR="00D530B2">
        <w:rPr>
          <w:rFonts w:ascii="Arial" w:eastAsia="ＭＳ ゴシック" w:hAnsi="Arial" w:cs="Arial"/>
          <w:color w:val="auto"/>
          <w:sz w:val="21"/>
          <w:szCs w:val="21"/>
        </w:rPr>
        <w:t>or organization has an interest.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276"/>
        <w:gridCol w:w="3543"/>
      </w:tblGrid>
      <w:tr w:rsidR="00CD2EEF" w:rsidRPr="00A63344" w14:paraId="52E36CBB" w14:textId="77777777" w:rsidTr="007877CE">
        <w:tc>
          <w:tcPr>
            <w:tcW w:w="4820" w:type="dxa"/>
          </w:tcPr>
          <w:p w14:paraId="003852FF" w14:textId="0972A269" w:rsidR="00CD2EEF" w:rsidRPr="00A63344" w:rsidRDefault="00D530B2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rea</w:t>
            </w:r>
          </w:p>
        </w:tc>
        <w:tc>
          <w:tcPr>
            <w:tcW w:w="1276" w:type="dxa"/>
          </w:tcPr>
          <w:p w14:paraId="0BD4A7FA" w14:textId="05114CDB" w:rsidR="00CD2EEF" w:rsidRPr="00A63344" w:rsidRDefault="00D530B2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es or No</w:t>
            </w:r>
          </w:p>
        </w:tc>
        <w:tc>
          <w:tcPr>
            <w:tcW w:w="3543" w:type="dxa"/>
          </w:tcPr>
          <w:p w14:paraId="783CE328" w14:textId="3DEC8598" w:rsidR="00CD2EEF" w:rsidRPr="00A63344" w:rsidRDefault="00D530B2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If Yes, list the name(s) of author(s) and commercial entity(</w:t>
            </w:r>
            <w:proofErr w:type="spellStart"/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ies</w:t>
            </w:r>
            <w:proofErr w:type="spellEnd"/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)</w:t>
            </w:r>
          </w:p>
        </w:tc>
      </w:tr>
      <w:tr w:rsidR="00CD2EEF" w:rsidRPr="00A63344" w14:paraId="0DE33975" w14:textId="77777777" w:rsidTr="007877CE">
        <w:trPr>
          <w:trHeight w:val="454"/>
        </w:trPr>
        <w:tc>
          <w:tcPr>
            <w:tcW w:w="4820" w:type="dxa"/>
          </w:tcPr>
          <w:p w14:paraId="64AF2F87" w14:textId="77777777" w:rsidR="00D530B2" w:rsidRPr="00D530B2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1. Employment/Leadership position/Advisory role</w:t>
            </w:r>
          </w:p>
          <w:p w14:paraId="1CD3254A" w14:textId="2FBF27A9" w:rsidR="00CD2EEF" w:rsidRPr="00A63344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1,000,000 Japanese yen or more (or its equivalent) annually from one commercial entity</w:t>
            </w:r>
          </w:p>
        </w:tc>
        <w:tc>
          <w:tcPr>
            <w:tcW w:w="1276" w:type="dxa"/>
            <w:vAlign w:val="center"/>
          </w:tcPr>
          <w:p w14:paraId="6B4A483E" w14:textId="2B7C2184" w:rsidR="00CD2EEF" w:rsidRPr="00A63344" w:rsidRDefault="00D530B2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es / No</w:t>
            </w:r>
          </w:p>
        </w:tc>
        <w:tc>
          <w:tcPr>
            <w:tcW w:w="3543" w:type="dxa"/>
            <w:vAlign w:val="center"/>
          </w:tcPr>
          <w:p w14:paraId="1BC273DA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78AD2489" w14:textId="77777777" w:rsidTr="007877CE">
        <w:trPr>
          <w:trHeight w:val="918"/>
        </w:trPr>
        <w:tc>
          <w:tcPr>
            <w:tcW w:w="4820" w:type="dxa"/>
          </w:tcPr>
          <w:p w14:paraId="275A2E39" w14:textId="77777777" w:rsidR="00D530B2" w:rsidRPr="00D530B2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2. Stock ownership or options</w:t>
            </w:r>
          </w:p>
          <w:p w14:paraId="1FEE500F" w14:textId="49ABF89A" w:rsidR="00CD2EEF" w:rsidRPr="00A63344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Profit of 1,000,000 Japanese yen or more  (or its equivalent) annually from the stock of one company/ownership of 5% or more of total shares of one</w:t>
            </w:r>
          </w:p>
        </w:tc>
        <w:tc>
          <w:tcPr>
            <w:tcW w:w="1276" w:type="dxa"/>
            <w:vAlign w:val="center"/>
          </w:tcPr>
          <w:p w14:paraId="14820D7E" w14:textId="08DB175E" w:rsidR="00CD2EEF" w:rsidRPr="00A63344" w:rsidRDefault="00F37C54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es / No</w:t>
            </w:r>
          </w:p>
        </w:tc>
        <w:tc>
          <w:tcPr>
            <w:tcW w:w="3543" w:type="dxa"/>
            <w:vAlign w:val="center"/>
          </w:tcPr>
          <w:p w14:paraId="5C4C5D88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6DF01C35" w14:textId="77777777" w:rsidTr="007877CE">
        <w:trPr>
          <w:trHeight w:val="728"/>
        </w:trPr>
        <w:tc>
          <w:tcPr>
            <w:tcW w:w="4820" w:type="dxa"/>
          </w:tcPr>
          <w:p w14:paraId="4611FE0B" w14:textId="77777777" w:rsidR="00D530B2" w:rsidRPr="00D530B2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3. Patent royalties/licensing fees</w:t>
            </w:r>
          </w:p>
          <w:p w14:paraId="605CAC4A" w14:textId="3B4BC28A" w:rsidR="00CD2EEF" w:rsidRPr="00A63344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1,000,000 Japanese yen or more (or its equivalent) per one royalty/licensing fee annually</w:t>
            </w:r>
          </w:p>
        </w:tc>
        <w:tc>
          <w:tcPr>
            <w:tcW w:w="1276" w:type="dxa"/>
            <w:vAlign w:val="center"/>
          </w:tcPr>
          <w:p w14:paraId="5E4A7018" w14:textId="4B28DAA0" w:rsidR="00CD2EEF" w:rsidRPr="00A63344" w:rsidRDefault="00F37C54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es / No</w:t>
            </w:r>
          </w:p>
        </w:tc>
        <w:tc>
          <w:tcPr>
            <w:tcW w:w="3543" w:type="dxa"/>
            <w:vAlign w:val="center"/>
          </w:tcPr>
          <w:p w14:paraId="68BB210F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4025FC54" w14:textId="77777777" w:rsidTr="007877CE">
        <w:trPr>
          <w:trHeight w:val="588"/>
        </w:trPr>
        <w:tc>
          <w:tcPr>
            <w:tcW w:w="4820" w:type="dxa"/>
          </w:tcPr>
          <w:p w14:paraId="55251B21" w14:textId="77777777" w:rsidR="00D530B2" w:rsidRPr="00D530B2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 xml:space="preserve">4. Honoraria (e.g., lecture fees) </w:t>
            </w:r>
          </w:p>
          <w:p w14:paraId="02BB5C6B" w14:textId="0B8EA7A5" w:rsidR="00CD2EEF" w:rsidRPr="00A63344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500,000 Japanese yen or more (or its equivalent) annually from one commercial entity</w:t>
            </w:r>
          </w:p>
        </w:tc>
        <w:tc>
          <w:tcPr>
            <w:tcW w:w="1276" w:type="dxa"/>
            <w:vAlign w:val="center"/>
          </w:tcPr>
          <w:p w14:paraId="68D51AEF" w14:textId="3F237AD6" w:rsidR="00CD2EEF" w:rsidRPr="00A63344" w:rsidRDefault="00F37C54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es / No</w:t>
            </w:r>
          </w:p>
        </w:tc>
        <w:tc>
          <w:tcPr>
            <w:tcW w:w="3543" w:type="dxa"/>
            <w:vAlign w:val="center"/>
          </w:tcPr>
          <w:p w14:paraId="52772728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7F0C46BF" w14:textId="77777777" w:rsidTr="007877CE">
        <w:trPr>
          <w:trHeight w:val="572"/>
        </w:trPr>
        <w:tc>
          <w:tcPr>
            <w:tcW w:w="4820" w:type="dxa"/>
          </w:tcPr>
          <w:p w14:paraId="2EF6B5AF" w14:textId="77777777" w:rsidR="00D530B2" w:rsidRPr="00D530B2" w:rsidRDefault="00D530B2" w:rsidP="00D530B2">
            <w:pPr>
              <w:widowControl w:val="0"/>
              <w:tabs>
                <w:tab w:val="left" w:pos="205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5.</w:t>
            </w: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ab/>
              <w:t>Manuscript fees</w:t>
            </w:r>
          </w:p>
          <w:p w14:paraId="253073BE" w14:textId="49A4CD98" w:rsidR="00CD2EEF" w:rsidRPr="00A63344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500,000 Japanese yen or more (or its equivalent) annually from one commercial entity</w:t>
            </w:r>
          </w:p>
        </w:tc>
        <w:tc>
          <w:tcPr>
            <w:tcW w:w="1276" w:type="dxa"/>
            <w:vAlign w:val="center"/>
          </w:tcPr>
          <w:p w14:paraId="4ED51165" w14:textId="6F09D162" w:rsidR="00CD2EEF" w:rsidRPr="00A63344" w:rsidRDefault="00F37C54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es / No</w:t>
            </w:r>
          </w:p>
        </w:tc>
        <w:tc>
          <w:tcPr>
            <w:tcW w:w="3543" w:type="dxa"/>
            <w:vAlign w:val="center"/>
          </w:tcPr>
          <w:p w14:paraId="5F093392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49477B6D" w14:textId="77777777" w:rsidTr="007877CE">
        <w:trPr>
          <w:trHeight w:val="851"/>
        </w:trPr>
        <w:tc>
          <w:tcPr>
            <w:tcW w:w="4820" w:type="dxa"/>
          </w:tcPr>
          <w:p w14:paraId="58D8D771" w14:textId="77777777" w:rsidR="00D530B2" w:rsidRPr="00D530B2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6. Research funding</w:t>
            </w:r>
          </w:p>
          <w:p w14:paraId="2ED74681" w14:textId="11CDF8DF" w:rsidR="00CD2EEF" w:rsidRPr="00A63344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2,000,000 Japanese yen or more (or its equivalent) annual payment to departments (department, field, or laboratory) who share research expenses from the same commercial entity.</w:t>
            </w:r>
          </w:p>
        </w:tc>
        <w:tc>
          <w:tcPr>
            <w:tcW w:w="1276" w:type="dxa"/>
            <w:vAlign w:val="center"/>
          </w:tcPr>
          <w:p w14:paraId="13B88A0C" w14:textId="6DFF9387" w:rsidR="00CD2EEF" w:rsidRPr="00A63344" w:rsidRDefault="00F37C54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es / No</w:t>
            </w:r>
          </w:p>
        </w:tc>
        <w:tc>
          <w:tcPr>
            <w:tcW w:w="3543" w:type="dxa"/>
            <w:vAlign w:val="center"/>
          </w:tcPr>
          <w:p w14:paraId="2994B744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1C316252" w14:textId="77777777" w:rsidTr="007877CE">
        <w:trPr>
          <w:trHeight w:val="851"/>
        </w:trPr>
        <w:tc>
          <w:tcPr>
            <w:tcW w:w="4820" w:type="dxa"/>
          </w:tcPr>
          <w:p w14:paraId="68A45548" w14:textId="77777777" w:rsidR="00D530B2" w:rsidRPr="00D530B2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7. Subsidies or Donations</w:t>
            </w:r>
          </w:p>
          <w:p w14:paraId="5F272EC5" w14:textId="036888AC" w:rsidR="00CD2EEF" w:rsidRPr="00A63344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2,000,000 Japanese yen or more (or its equivalent) annual payment to departments (department, field, or laboratory) who share subsidies or donations from the same commercial entity.</w:t>
            </w:r>
          </w:p>
        </w:tc>
        <w:tc>
          <w:tcPr>
            <w:tcW w:w="1276" w:type="dxa"/>
            <w:vAlign w:val="center"/>
          </w:tcPr>
          <w:p w14:paraId="7D3A23F0" w14:textId="1D1993B6" w:rsidR="00CD2EEF" w:rsidRPr="00A63344" w:rsidRDefault="00F37C54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es / No</w:t>
            </w:r>
          </w:p>
        </w:tc>
        <w:tc>
          <w:tcPr>
            <w:tcW w:w="3543" w:type="dxa"/>
            <w:vAlign w:val="center"/>
          </w:tcPr>
          <w:p w14:paraId="3A81AF5D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4A301205" w14:textId="77777777" w:rsidTr="007877CE">
        <w:trPr>
          <w:trHeight w:val="565"/>
        </w:trPr>
        <w:tc>
          <w:tcPr>
            <w:tcW w:w="4820" w:type="dxa"/>
          </w:tcPr>
          <w:p w14:paraId="4D64AA65" w14:textId="77777777" w:rsidR="00D530B2" w:rsidRPr="00D530B2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8. Endowed departments by commercial entities</w:t>
            </w:r>
          </w:p>
          <w:p w14:paraId="623FD630" w14:textId="29E9D409" w:rsidR="00CD2EEF" w:rsidRPr="00A63344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(If any of the authors belongs to an endowed department sponsored by any commercial entity)</w:t>
            </w:r>
          </w:p>
        </w:tc>
        <w:tc>
          <w:tcPr>
            <w:tcW w:w="1276" w:type="dxa"/>
            <w:vAlign w:val="center"/>
          </w:tcPr>
          <w:p w14:paraId="4608DA23" w14:textId="50799609" w:rsidR="00CD2EEF" w:rsidRPr="00A63344" w:rsidRDefault="00F37C54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es / No</w:t>
            </w:r>
          </w:p>
        </w:tc>
        <w:tc>
          <w:tcPr>
            <w:tcW w:w="3543" w:type="dxa"/>
            <w:vAlign w:val="center"/>
          </w:tcPr>
          <w:p w14:paraId="5CA53D5D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4A0C94EE" w14:textId="77777777" w:rsidTr="007877CE">
        <w:trPr>
          <w:trHeight w:val="851"/>
        </w:trPr>
        <w:tc>
          <w:tcPr>
            <w:tcW w:w="4820" w:type="dxa"/>
          </w:tcPr>
          <w:p w14:paraId="669B6B53" w14:textId="2F5DF7E7" w:rsidR="00D530B2" w:rsidRPr="00D530B2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9. Travel fees, gifts, and others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(without relation to research)</w:t>
            </w:r>
          </w:p>
          <w:p w14:paraId="1E397CB0" w14:textId="737140AA" w:rsidR="00CD2EEF" w:rsidRPr="00A63344" w:rsidRDefault="00D530B2" w:rsidP="00D530B2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30B2">
              <w:rPr>
                <w:rFonts w:ascii="Times New Roman" w:hAnsi="Times New Roman" w:cs="Times New Roman"/>
                <w:color w:val="auto"/>
                <w:sz w:val="20"/>
              </w:rPr>
              <w:t>50,000 Japanese yen or more  (or its equivalent) annually from one commercial entity</w:t>
            </w:r>
          </w:p>
        </w:tc>
        <w:tc>
          <w:tcPr>
            <w:tcW w:w="1276" w:type="dxa"/>
            <w:vAlign w:val="center"/>
          </w:tcPr>
          <w:p w14:paraId="1E713DB0" w14:textId="6A957319" w:rsidR="00CD2EEF" w:rsidRPr="00A63344" w:rsidRDefault="00F37C54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es / No</w:t>
            </w:r>
          </w:p>
        </w:tc>
        <w:tc>
          <w:tcPr>
            <w:tcW w:w="3543" w:type="dxa"/>
            <w:vAlign w:val="center"/>
          </w:tcPr>
          <w:p w14:paraId="795842EE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D2EEF" w:rsidRPr="00A63344" w14:paraId="6C473367" w14:textId="77777777" w:rsidTr="007877CE">
        <w:trPr>
          <w:trHeight w:val="840"/>
        </w:trPr>
        <w:tc>
          <w:tcPr>
            <w:tcW w:w="4820" w:type="dxa"/>
          </w:tcPr>
          <w:p w14:paraId="5FBA3AA9" w14:textId="6E54022F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10</w:t>
            </w:r>
            <w:r w:rsidRPr="00A63344">
              <w:rPr>
                <w:rFonts w:ascii="Times New Roman" w:hAnsi="Times New Roman" w:cs="Times New Roman" w:hint="eastAsia"/>
                <w:color w:val="auto"/>
                <w:sz w:val="20"/>
              </w:rPr>
              <w:t>．</w:t>
            </w:r>
            <w:r w:rsidR="00D530B2">
              <w:rPr>
                <w:rFonts w:ascii="Times New Roman" w:hAnsi="Times New Roman" w:cs="Times New Roman" w:hint="eastAsia"/>
                <w:color w:val="auto"/>
                <w:sz w:val="20"/>
              </w:rPr>
              <w:t>O</w:t>
            </w:r>
            <w:r w:rsidR="00D530B2">
              <w:rPr>
                <w:rFonts w:ascii="Times New Roman" w:hAnsi="Times New Roman" w:cs="Times New Roman"/>
                <w:color w:val="auto"/>
                <w:sz w:val="20"/>
              </w:rPr>
              <w:t>thers</w:t>
            </w:r>
          </w:p>
          <w:p w14:paraId="06695B30" w14:textId="05A4EA0A" w:rsidR="00CD2EEF" w:rsidRPr="00A63344" w:rsidRDefault="00F37C54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Other issues, </w:t>
            </w: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relative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’s commercial activities, and so on, </w:t>
            </w:r>
          </w:p>
        </w:tc>
        <w:tc>
          <w:tcPr>
            <w:tcW w:w="1276" w:type="dxa"/>
            <w:vAlign w:val="center"/>
          </w:tcPr>
          <w:p w14:paraId="12DBE23C" w14:textId="3AA39FC9" w:rsidR="00CD2EEF" w:rsidRPr="00A63344" w:rsidRDefault="00F37C54" w:rsidP="00CD2EE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 w:hint="eastAsia"/>
                <w:color w:val="auto"/>
                <w:sz w:val="20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es / No</w:t>
            </w:r>
          </w:p>
        </w:tc>
        <w:tc>
          <w:tcPr>
            <w:tcW w:w="3543" w:type="dxa"/>
            <w:vAlign w:val="center"/>
          </w:tcPr>
          <w:p w14:paraId="1882C834" w14:textId="77777777" w:rsidR="00CD2EEF" w:rsidRPr="00A63344" w:rsidRDefault="00CD2EEF" w:rsidP="00CD2EEF">
            <w:pPr>
              <w:widowControl w:val="0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6B68ABB6" w14:textId="77777777" w:rsidR="00F37C54" w:rsidRDefault="00F37C54" w:rsidP="00F37C54">
      <w:pPr>
        <w:widowControl w:val="0"/>
        <w:spacing w:after="0" w:line="276" w:lineRule="auto"/>
        <w:ind w:left="0" w:firstLine="0"/>
        <w:rPr>
          <w:rFonts w:asciiTheme="majorHAnsi" w:eastAsiaTheme="majorEastAsia" w:hAnsiTheme="majorHAnsi" w:cstheme="majorHAnsi"/>
          <w:sz w:val="16"/>
          <w:szCs w:val="16"/>
        </w:rPr>
      </w:pPr>
      <w:r w:rsidRPr="00F37C54">
        <w:rPr>
          <w:rFonts w:asciiTheme="majorHAnsi" w:eastAsiaTheme="majorEastAsia" w:hAnsiTheme="majorHAnsi" w:cstheme="majorHAnsi"/>
          <w:sz w:val="16"/>
          <w:szCs w:val="16"/>
        </w:rPr>
        <w:t>This statement will be kept for 2 years after the publication of the manuscript.</w:t>
      </w:r>
    </w:p>
    <w:p w14:paraId="21E82E4A" w14:textId="77777777" w:rsidR="00604E4C" w:rsidRPr="00F37C54" w:rsidRDefault="00604E4C" w:rsidP="00F37C54">
      <w:pPr>
        <w:widowControl w:val="0"/>
        <w:spacing w:after="0" w:line="276" w:lineRule="auto"/>
        <w:ind w:left="0" w:firstLine="0"/>
        <w:rPr>
          <w:rFonts w:asciiTheme="majorHAnsi" w:eastAsiaTheme="majorEastAsia" w:hAnsiTheme="majorHAnsi" w:cstheme="majorHAnsi"/>
          <w:sz w:val="16"/>
          <w:szCs w:val="16"/>
        </w:rPr>
      </w:pPr>
    </w:p>
    <w:p w14:paraId="29904B05" w14:textId="0052A651" w:rsidR="00F37C54" w:rsidRDefault="00F37C54" w:rsidP="00F37C54">
      <w:pPr>
        <w:widowControl w:val="0"/>
        <w:spacing w:after="0" w:line="240" w:lineRule="exact"/>
        <w:ind w:left="0" w:firstLine="0"/>
        <w:rPr>
          <w:rFonts w:asciiTheme="majorHAnsi" w:eastAsiaTheme="majorEastAsia" w:hAnsiTheme="majorHAnsi" w:cstheme="majorHAnsi"/>
        </w:rPr>
      </w:pPr>
      <w:r w:rsidRPr="00F37C54">
        <w:rPr>
          <w:rFonts w:asciiTheme="majorHAnsi" w:eastAsiaTheme="majorEastAsia" w:hAnsiTheme="majorHAnsi" w:cstheme="majorHAnsi"/>
        </w:rPr>
        <w:t>Date of Completion (YYYY MM DD)</w:t>
      </w:r>
    </w:p>
    <w:p w14:paraId="76C71D86" w14:textId="77777777" w:rsidR="00F37C54" w:rsidRPr="00F37C54" w:rsidRDefault="00F37C54" w:rsidP="00F37C54">
      <w:pPr>
        <w:widowControl w:val="0"/>
        <w:spacing w:after="0" w:line="240" w:lineRule="exact"/>
        <w:ind w:left="0" w:firstLine="0"/>
        <w:rPr>
          <w:rFonts w:asciiTheme="majorHAnsi" w:eastAsiaTheme="majorEastAsia" w:hAnsiTheme="majorHAnsi" w:cstheme="majorHAnsi"/>
        </w:rPr>
      </w:pPr>
    </w:p>
    <w:p w14:paraId="022F9B2A" w14:textId="5A7BE399" w:rsidR="007877CE" w:rsidRPr="00F37C54" w:rsidRDefault="00F37C54" w:rsidP="00F37C54">
      <w:pPr>
        <w:widowControl w:val="0"/>
        <w:spacing w:after="0" w:line="240" w:lineRule="exact"/>
        <w:ind w:left="0" w:firstLine="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75B6B" wp14:editId="061C40C3">
                <wp:simplePos x="0" y="0"/>
                <wp:positionH relativeFrom="column">
                  <wp:posOffset>22860</wp:posOffset>
                </wp:positionH>
                <wp:positionV relativeFrom="paragraph">
                  <wp:posOffset>170815</wp:posOffset>
                </wp:positionV>
                <wp:extent cx="6051550" cy="0"/>
                <wp:effectExtent l="0" t="0" r="254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D8ABD" id="直線コネクタ 2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8pt,13.45pt" to="478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Pr="00F37C54">
        <w:rPr>
          <w:rFonts w:asciiTheme="majorHAnsi" w:eastAsiaTheme="majorEastAsia" w:hAnsiTheme="majorHAnsi" w:cstheme="majorHAnsi"/>
        </w:rPr>
        <w:t xml:space="preserve">Corresponding author's signature </w:t>
      </w:r>
    </w:p>
    <w:sectPr w:rsidR="007877CE" w:rsidRPr="00F37C54" w:rsidSect="00F37C54">
      <w:footerReference w:type="even" r:id="rId8"/>
      <w:footerReference w:type="default" r:id="rId9"/>
      <w:pgSz w:w="11906" w:h="16838" w:code="9"/>
      <w:pgMar w:top="1418" w:right="1134" w:bottom="851" w:left="1134" w:header="567" w:footer="567" w:gutter="0"/>
      <w:cols w:space="720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8DA8" w14:textId="77777777" w:rsidR="00AC598E" w:rsidRDefault="00AC598E" w:rsidP="00977483">
      <w:pPr>
        <w:spacing w:after="0" w:line="240" w:lineRule="auto"/>
      </w:pPr>
      <w:r>
        <w:separator/>
      </w:r>
    </w:p>
  </w:endnote>
  <w:endnote w:type="continuationSeparator" w:id="0">
    <w:p w14:paraId="3233D3E0" w14:textId="77777777" w:rsidR="00AC598E" w:rsidRDefault="00AC598E" w:rsidP="0097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072" w14:textId="77777777" w:rsidR="005F4613" w:rsidRDefault="005F4613" w:rsidP="00ED70A9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E7A8FF8" w14:textId="77777777" w:rsidR="005F4613" w:rsidRDefault="005F4613" w:rsidP="00AD3B2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B2F9" w14:textId="222CDC65" w:rsidR="005F4613" w:rsidRDefault="005F4613" w:rsidP="00ED70A9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D7B80">
      <w:rPr>
        <w:rStyle w:val="a8"/>
        <w:noProof/>
      </w:rPr>
      <w:t>1</w:t>
    </w:r>
    <w:r>
      <w:rPr>
        <w:rStyle w:val="a8"/>
      </w:rPr>
      <w:fldChar w:fldCharType="end"/>
    </w:r>
  </w:p>
  <w:p w14:paraId="4179EFCC" w14:textId="77777777" w:rsidR="005F4613" w:rsidRDefault="005F4613" w:rsidP="00AD3B2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8CFF" w14:textId="77777777" w:rsidR="00AC598E" w:rsidRDefault="00AC598E" w:rsidP="00977483">
      <w:pPr>
        <w:spacing w:after="0" w:line="240" w:lineRule="auto"/>
      </w:pPr>
      <w:r>
        <w:separator/>
      </w:r>
    </w:p>
  </w:footnote>
  <w:footnote w:type="continuationSeparator" w:id="0">
    <w:p w14:paraId="69BBA972" w14:textId="77777777" w:rsidR="00AC598E" w:rsidRDefault="00AC598E" w:rsidP="00977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326D"/>
    <w:multiLevelType w:val="hybridMultilevel"/>
    <w:tmpl w:val="8CFAFDAA"/>
    <w:lvl w:ilvl="0" w:tplc="0396F0EE">
      <w:start w:val="2"/>
      <w:numFmt w:val="decimal"/>
      <w:lvlText w:val="%1"/>
      <w:lvlJc w:val="left"/>
      <w:pPr>
        <w:ind w:left="3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585B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EEF2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B6CB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A82E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3681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7C6E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7832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BC0A1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F71994"/>
    <w:multiLevelType w:val="hybridMultilevel"/>
    <w:tmpl w:val="0FF8DB30"/>
    <w:lvl w:ilvl="0" w:tplc="D32A9C20">
      <w:start w:val="1"/>
      <w:numFmt w:val="decimal"/>
      <w:lvlText w:val="%1)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2" w15:restartNumberingAfterBreak="0">
    <w:nsid w:val="285C140C"/>
    <w:multiLevelType w:val="hybridMultilevel"/>
    <w:tmpl w:val="8F26174A"/>
    <w:lvl w:ilvl="0" w:tplc="F11C41FE">
      <w:start w:val="2"/>
      <w:numFmt w:val="decimal"/>
      <w:lvlText w:val="%1"/>
      <w:lvlJc w:val="left"/>
      <w:pPr>
        <w:ind w:left="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9460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8CFBF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1ACA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0C6F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5A4E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566E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B48FF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94AF7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E6587C"/>
    <w:multiLevelType w:val="hybridMultilevel"/>
    <w:tmpl w:val="AE66FA8E"/>
    <w:lvl w:ilvl="0" w:tplc="A600C982">
      <w:start w:val="1"/>
      <w:numFmt w:val="decimal"/>
      <w:lvlText w:val="（%1）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0868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1A8D3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89E6B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045E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F8A2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3048D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E232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9A6E69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4F1654"/>
    <w:multiLevelType w:val="hybridMultilevel"/>
    <w:tmpl w:val="7E6A29DA"/>
    <w:lvl w:ilvl="0" w:tplc="15B2A1BE">
      <w:start w:val="2"/>
      <w:numFmt w:val="decimal"/>
      <w:lvlText w:val="%1"/>
      <w:lvlJc w:val="left"/>
      <w:pPr>
        <w:ind w:left="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60BB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D843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4621E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0460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8A630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EC13E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FA79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FA55C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4276684">
    <w:abstractNumId w:val="4"/>
  </w:num>
  <w:num w:numId="2" w16cid:durableId="112292620">
    <w:abstractNumId w:val="0"/>
  </w:num>
  <w:num w:numId="3" w16cid:durableId="1418668157">
    <w:abstractNumId w:val="3"/>
  </w:num>
  <w:num w:numId="4" w16cid:durableId="478350531">
    <w:abstractNumId w:val="2"/>
  </w:num>
  <w:num w:numId="5" w16cid:durableId="28917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6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CD"/>
    <w:rsid w:val="00024CF0"/>
    <w:rsid w:val="00032BFF"/>
    <w:rsid w:val="00054E64"/>
    <w:rsid w:val="00066FF2"/>
    <w:rsid w:val="000713F9"/>
    <w:rsid w:val="000715D4"/>
    <w:rsid w:val="000841E3"/>
    <w:rsid w:val="000B5600"/>
    <w:rsid w:val="000D223C"/>
    <w:rsid w:val="000D2861"/>
    <w:rsid w:val="000D7B80"/>
    <w:rsid w:val="001042F2"/>
    <w:rsid w:val="001131FF"/>
    <w:rsid w:val="0013430E"/>
    <w:rsid w:val="00137765"/>
    <w:rsid w:val="00140B59"/>
    <w:rsid w:val="00157DC2"/>
    <w:rsid w:val="00166B59"/>
    <w:rsid w:val="00172D10"/>
    <w:rsid w:val="00192586"/>
    <w:rsid w:val="001A3AA9"/>
    <w:rsid w:val="001A6145"/>
    <w:rsid w:val="001A740C"/>
    <w:rsid w:val="001B53A6"/>
    <w:rsid w:val="001B6E7F"/>
    <w:rsid w:val="001C3D84"/>
    <w:rsid w:val="001E04CA"/>
    <w:rsid w:val="001F665F"/>
    <w:rsid w:val="00206DBB"/>
    <w:rsid w:val="002201C3"/>
    <w:rsid w:val="00225F94"/>
    <w:rsid w:val="002466D3"/>
    <w:rsid w:val="002811F8"/>
    <w:rsid w:val="002A6D2A"/>
    <w:rsid w:val="002B203C"/>
    <w:rsid w:val="002B4CA0"/>
    <w:rsid w:val="002C7D04"/>
    <w:rsid w:val="002F79A0"/>
    <w:rsid w:val="00313AEC"/>
    <w:rsid w:val="00323E64"/>
    <w:rsid w:val="003374F4"/>
    <w:rsid w:val="00360F5D"/>
    <w:rsid w:val="003711D0"/>
    <w:rsid w:val="003D497D"/>
    <w:rsid w:val="003E1746"/>
    <w:rsid w:val="003E1BC9"/>
    <w:rsid w:val="003E4A77"/>
    <w:rsid w:val="004503D2"/>
    <w:rsid w:val="00467FE7"/>
    <w:rsid w:val="00485271"/>
    <w:rsid w:val="004A6F15"/>
    <w:rsid w:val="004B2B14"/>
    <w:rsid w:val="004E07C1"/>
    <w:rsid w:val="00533DEA"/>
    <w:rsid w:val="0054179F"/>
    <w:rsid w:val="005457F1"/>
    <w:rsid w:val="00554007"/>
    <w:rsid w:val="00573440"/>
    <w:rsid w:val="005745C7"/>
    <w:rsid w:val="00574B12"/>
    <w:rsid w:val="005B64B4"/>
    <w:rsid w:val="005C4DA4"/>
    <w:rsid w:val="005C7625"/>
    <w:rsid w:val="005F4613"/>
    <w:rsid w:val="00604E4C"/>
    <w:rsid w:val="0061684F"/>
    <w:rsid w:val="006216D8"/>
    <w:rsid w:val="00653CE4"/>
    <w:rsid w:val="006824FD"/>
    <w:rsid w:val="006B0F82"/>
    <w:rsid w:val="006B279A"/>
    <w:rsid w:val="006B4DFC"/>
    <w:rsid w:val="00703B9F"/>
    <w:rsid w:val="00706A40"/>
    <w:rsid w:val="00714347"/>
    <w:rsid w:val="00735360"/>
    <w:rsid w:val="00745281"/>
    <w:rsid w:val="007517DF"/>
    <w:rsid w:val="007572CA"/>
    <w:rsid w:val="00762171"/>
    <w:rsid w:val="00762351"/>
    <w:rsid w:val="00770306"/>
    <w:rsid w:val="00770F30"/>
    <w:rsid w:val="007877CE"/>
    <w:rsid w:val="0079036C"/>
    <w:rsid w:val="00794B68"/>
    <w:rsid w:val="007A2566"/>
    <w:rsid w:val="007B7458"/>
    <w:rsid w:val="00822591"/>
    <w:rsid w:val="0082630E"/>
    <w:rsid w:val="00830A6E"/>
    <w:rsid w:val="00837819"/>
    <w:rsid w:val="00857650"/>
    <w:rsid w:val="008A19A5"/>
    <w:rsid w:val="008B09E3"/>
    <w:rsid w:val="008B6548"/>
    <w:rsid w:val="008B68B6"/>
    <w:rsid w:val="008C0CEF"/>
    <w:rsid w:val="008C4C0D"/>
    <w:rsid w:val="008D1351"/>
    <w:rsid w:val="00907979"/>
    <w:rsid w:val="00977483"/>
    <w:rsid w:val="00983EC7"/>
    <w:rsid w:val="009859A6"/>
    <w:rsid w:val="00987A2F"/>
    <w:rsid w:val="009B22FA"/>
    <w:rsid w:val="009D5411"/>
    <w:rsid w:val="00A05056"/>
    <w:rsid w:val="00A144F6"/>
    <w:rsid w:val="00A37810"/>
    <w:rsid w:val="00A4173E"/>
    <w:rsid w:val="00A441AE"/>
    <w:rsid w:val="00A5113F"/>
    <w:rsid w:val="00A5448C"/>
    <w:rsid w:val="00A63344"/>
    <w:rsid w:val="00A723CD"/>
    <w:rsid w:val="00A76DB6"/>
    <w:rsid w:val="00A815C1"/>
    <w:rsid w:val="00A9773D"/>
    <w:rsid w:val="00AB54D3"/>
    <w:rsid w:val="00AB626F"/>
    <w:rsid w:val="00AC598E"/>
    <w:rsid w:val="00AD3B2C"/>
    <w:rsid w:val="00AF1025"/>
    <w:rsid w:val="00AF6C2D"/>
    <w:rsid w:val="00B32257"/>
    <w:rsid w:val="00B560AD"/>
    <w:rsid w:val="00B85792"/>
    <w:rsid w:val="00B94A97"/>
    <w:rsid w:val="00B95FE9"/>
    <w:rsid w:val="00BA2958"/>
    <w:rsid w:val="00BB683C"/>
    <w:rsid w:val="00BD0750"/>
    <w:rsid w:val="00BD1F00"/>
    <w:rsid w:val="00C03EE5"/>
    <w:rsid w:val="00C17367"/>
    <w:rsid w:val="00C41CB8"/>
    <w:rsid w:val="00C6148E"/>
    <w:rsid w:val="00C63D1A"/>
    <w:rsid w:val="00C63FB9"/>
    <w:rsid w:val="00C71F29"/>
    <w:rsid w:val="00C72969"/>
    <w:rsid w:val="00C801D8"/>
    <w:rsid w:val="00C82DA5"/>
    <w:rsid w:val="00CA556F"/>
    <w:rsid w:val="00CB0E46"/>
    <w:rsid w:val="00CB2BE3"/>
    <w:rsid w:val="00CC1702"/>
    <w:rsid w:val="00CD2EEF"/>
    <w:rsid w:val="00CE7108"/>
    <w:rsid w:val="00D05EA0"/>
    <w:rsid w:val="00D13594"/>
    <w:rsid w:val="00D36BF4"/>
    <w:rsid w:val="00D37695"/>
    <w:rsid w:val="00D47CD8"/>
    <w:rsid w:val="00D51DA0"/>
    <w:rsid w:val="00D530B2"/>
    <w:rsid w:val="00D630FF"/>
    <w:rsid w:val="00D80F4B"/>
    <w:rsid w:val="00D95DAF"/>
    <w:rsid w:val="00DA1B5D"/>
    <w:rsid w:val="00DA29A5"/>
    <w:rsid w:val="00DC1378"/>
    <w:rsid w:val="00DC348B"/>
    <w:rsid w:val="00DE0E23"/>
    <w:rsid w:val="00DE5168"/>
    <w:rsid w:val="00DF2BB6"/>
    <w:rsid w:val="00DF2E39"/>
    <w:rsid w:val="00E02989"/>
    <w:rsid w:val="00E140EF"/>
    <w:rsid w:val="00E3467E"/>
    <w:rsid w:val="00E4093F"/>
    <w:rsid w:val="00E45498"/>
    <w:rsid w:val="00E463B2"/>
    <w:rsid w:val="00E80FCD"/>
    <w:rsid w:val="00E858CB"/>
    <w:rsid w:val="00E90A92"/>
    <w:rsid w:val="00ED70A9"/>
    <w:rsid w:val="00EE0A37"/>
    <w:rsid w:val="00EE109C"/>
    <w:rsid w:val="00EE759B"/>
    <w:rsid w:val="00F077A5"/>
    <w:rsid w:val="00F07A5F"/>
    <w:rsid w:val="00F21353"/>
    <w:rsid w:val="00F24DE2"/>
    <w:rsid w:val="00F367BA"/>
    <w:rsid w:val="00F37C54"/>
    <w:rsid w:val="00F504A5"/>
    <w:rsid w:val="00F7210E"/>
    <w:rsid w:val="00F90712"/>
    <w:rsid w:val="00FA1637"/>
    <w:rsid w:val="00FB5258"/>
    <w:rsid w:val="00FB6B88"/>
    <w:rsid w:val="00FC0AD4"/>
    <w:rsid w:val="00FC2DE2"/>
    <w:rsid w:val="00FC6814"/>
    <w:rsid w:val="00FE0AFA"/>
    <w:rsid w:val="00FF6171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B599B"/>
  <w15:docId w15:val="{9AD104C4-F20E-41A5-90EE-FFA49971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DFC"/>
    <w:pPr>
      <w:spacing w:after="67" w:line="259" w:lineRule="auto"/>
      <w:ind w:left="317" w:hanging="10"/>
    </w:pPr>
    <w:rPr>
      <w:rFonts w:ascii="ＭＳ Ｐ明朝" w:eastAsia="ＭＳ Ｐ明朝" w:hAnsi="ＭＳ 明朝" w:cs="ＭＳ 明朝"/>
      <w:color w:val="000000"/>
      <w:sz w:val="2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E07C1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83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977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83"/>
    <w:rPr>
      <w:rFonts w:ascii="ＭＳ 明朝" w:eastAsia="ＭＳ 明朝" w:hAnsi="ＭＳ 明朝" w:cs="ＭＳ 明朝"/>
      <w:color w:val="000000"/>
    </w:rPr>
  </w:style>
  <w:style w:type="table" w:styleId="a7">
    <w:name w:val="Table Grid"/>
    <w:basedOn w:val="a1"/>
    <w:uiPriority w:val="59"/>
    <w:rsid w:val="00977483"/>
    <w:rPr>
      <w:rFonts w:ascii="Arial" w:eastAsia="ＭＳ ゴシック" w:hAnsi="Arial" w:cs="Arial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AD3B2C"/>
  </w:style>
  <w:style w:type="paragraph" w:styleId="a9">
    <w:name w:val="footnote text"/>
    <w:basedOn w:val="a"/>
    <w:link w:val="aa"/>
    <w:uiPriority w:val="99"/>
    <w:semiHidden/>
    <w:unhideWhenUsed/>
    <w:rsid w:val="000715D4"/>
    <w:pPr>
      <w:snapToGrid w:val="0"/>
    </w:pPr>
  </w:style>
  <w:style w:type="character" w:customStyle="1" w:styleId="aa">
    <w:name w:val="脚注文字列 (文字)"/>
    <w:basedOn w:val="a0"/>
    <w:link w:val="a9"/>
    <w:uiPriority w:val="99"/>
    <w:semiHidden/>
    <w:rsid w:val="000715D4"/>
    <w:rPr>
      <w:rFonts w:ascii="ＭＳ 明朝" w:eastAsia="ＭＳ 明朝" w:hAnsi="ＭＳ 明朝" w:cs="ＭＳ 明朝"/>
      <w:color w:val="000000"/>
    </w:rPr>
  </w:style>
  <w:style w:type="character" w:styleId="ab">
    <w:name w:val="footnote reference"/>
    <w:basedOn w:val="a0"/>
    <w:uiPriority w:val="99"/>
    <w:semiHidden/>
    <w:unhideWhenUsed/>
    <w:rsid w:val="000715D4"/>
    <w:rPr>
      <w:vertAlign w:val="superscript"/>
    </w:rPr>
  </w:style>
  <w:style w:type="paragraph" w:styleId="ac">
    <w:name w:val="List Paragraph"/>
    <w:basedOn w:val="a"/>
    <w:uiPriority w:val="34"/>
    <w:qFormat/>
    <w:rsid w:val="00A144F6"/>
    <w:pPr>
      <w:ind w:leftChars="400" w:left="840"/>
    </w:pPr>
  </w:style>
  <w:style w:type="paragraph" w:styleId="ad">
    <w:name w:val="Revision"/>
    <w:hidden/>
    <w:uiPriority w:val="99"/>
    <w:semiHidden/>
    <w:rsid w:val="009D5411"/>
    <w:rPr>
      <w:rFonts w:ascii="ＭＳ 明朝" w:eastAsia="ＭＳ 明朝" w:hAnsi="ＭＳ 明朝" w:cs="ＭＳ 明朝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9D5411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D5411"/>
    <w:rPr>
      <w:rFonts w:ascii="ヒラギノ角ゴ ProN W3" w:eastAsia="ヒラギノ角ゴ ProN W3" w:hAnsi="ＭＳ 明朝" w:cs="ＭＳ 明朝"/>
      <w:color w:val="00000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323E6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23E64"/>
  </w:style>
  <w:style w:type="character" w:customStyle="1" w:styleId="af2">
    <w:name w:val="コメント文字列 (文字)"/>
    <w:basedOn w:val="a0"/>
    <w:link w:val="af1"/>
    <w:uiPriority w:val="99"/>
    <w:rsid w:val="00323E64"/>
    <w:rPr>
      <w:rFonts w:ascii="ＭＳ 明朝" w:eastAsia="ＭＳ 明朝" w:hAnsi="ＭＳ 明朝" w:cs="ＭＳ 明朝"/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3E6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23E64"/>
    <w:rPr>
      <w:rFonts w:ascii="ＭＳ 明朝" w:eastAsia="ＭＳ 明朝" w:hAnsi="ＭＳ 明朝" w:cs="ＭＳ 明朝"/>
      <w:b/>
      <w:bCs/>
      <w:color w:val="000000"/>
    </w:rPr>
  </w:style>
  <w:style w:type="character" w:customStyle="1" w:styleId="20">
    <w:name w:val="見出し 2 (文字)"/>
    <w:basedOn w:val="a0"/>
    <w:link w:val="2"/>
    <w:uiPriority w:val="9"/>
    <w:rsid w:val="004E07C1"/>
    <w:rPr>
      <w:rFonts w:asciiTheme="majorHAnsi" w:eastAsia="ＭＳ Ｐ明朝" w:hAnsiTheme="majorHAnsi" w:cstheme="majorBidi"/>
      <w:color w:val="000000"/>
      <w:sz w:val="22"/>
    </w:rPr>
  </w:style>
  <w:style w:type="paragraph" w:styleId="af5">
    <w:name w:val="Document Map"/>
    <w:basedOn w:val="a"/>
    <w:link w:val="af6"/>
    <w:uiPriority w:val="99"/>
    <w:semiHidden/>
    <w:unhideWhenUsed/>
    <w:rsid w:val="00D47CD8"/>
    <w:rPr>
      <w:rFonts w:ascii="ヒラギノ角ゴ ProN W3" w:eastAsia="ヒラギノ角ゴ ProN W3"/>
      <w:sz w:val="24"/>
      <w:szCs w:val="24"/>
    </w:rPr>
  </w:style>
  <w:style w:type="character" w:customStyle="1" w:styleId="af6">
    <w:name w:val="見出しマップ (文字)"/>
    <w:basedOn w:val="a0"/>
    <w:link w:val="af5"/>
    <w:uiPriority w:val="99"/>
    <w:semiHidden/>
    <w:rsid w:val="00D47CD8"/>
    <w:rPr>
      <w:rFonts w:ascii="ヒラギノ角ゴ ProN W3" w:eastAsia="ヒラギノ角ゴ ProN W3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87D80-7E3D-4D3D-9643-53CA43D2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利益相反の取り扱いに関する細則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利益相反の取り扱いに関する細則</dc:title>
  <dc:creator>Administrator</dc:creator>
  <cp:lastModifiedBy>河嵜 唯衣</cp:lastModifiedBy>
  <cp:revision>3</cp:revision>
  <cp:lastPrinted>2016-02-19T07:59:00Z</cp:lastPrinted>
  <dcterms:created xsi:type="dcterms:W3CDTF">2025-12-07T08:01:00Z</dcterms:created>
  <dcterms:modified xsi:type="dcterms:W3CDTF">2025-12-07T08:04:00Z</dcterms:modified>
</cp:coreProperties>
</file>